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ACD" w:rsidRPr="003F6ACD" w:rsidRDefault="003F6ACD" w:rsidP="003F6ACD">
      <w:pPr>
        <w:spacing w:before="100" w:beforeAutospacing="1" w:after="0" w:line="240" w:lineRule="auto"/>
        <w:jc w:val="center"/>
        <w:outlineLvl w:val="2"/>
        <w:rPr>
          <w:rFonts w:ascii="Times New Roman" w:eastAsia="Times New Roman" w:hAnsi="Times New Roman" w:cs="Times New Roman"/>
          <w:b/>
          <w:bCs/>
          <w:color w:val="1F1F1F"/>
        </w:rPr>
      </w:pPr>
      <w:r w:rsidRPr="003F6ACD">
        <w:rPr>
          <w:rFonts w:ascii="Times New Roman" w:eastAsia="Times New Roman" w:hAnsi="Times New Roman" w:cs="Times New Roman"/>
          <w:b/>
          <w:bCs/>
          <w:color w:val="1F1F1F"/>
        </w:rPr>
        <w:t>Event Report: Outreach Program on Academic and Career Guidance</w:t>
      </w:r>
    </w:p>
    <w:p w:rsidR="003F6ACD" w:rsidRDefault="003F6ACD" w:rsidP="003F6ACD">
      <w:pPr>
        <w:spacing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Organized by:</w:t>
      </w:r>
      <w:r w:rsidRPr="003F6ACD">
        <w:rPr>
          <w:rFonts w:ascii="Times New Roman" w:eastAsia="Times New Roman" w:hAnsi="Times New Roman" w:cs="Times New Roman"/>
          <w:color w:val="1F1F1F"/>
          <w:bdr w:val="none" w:sz="0" w:space="0" w:color="auto" w:frame="1"/>
        </w:rPr>
        <w:t xml:space="preserve"> Equal Opportunities Cell (EOC), G. Pulla Reddy Engineering College (Autonomous)</w:t>
      </w:r>
      <w:r>
        <w:rPr>
          <w:rFonts w:ascii="Times New Roman" w:eastAsia="Times New Roman" w:hAnsi="Times New Roman" w:cs="Times New Roman"/>
          <w:color w:val="1F1F1F"/>
        </w:rPr>
        <w:t>.</w:t>
      </w:r>
    </w:p>
    <w:p w:rsidR="003F6ACD" w:rsidRPr="003F6ACD" w:rsidRDefault="003F6ACD" w:rsidP="003F6ACD">
      <w:pPr>
        <w:spacing w:after="0" w:line="240" w:lineRule="auto"/>
        <w:jc w:val="both"/>
        <w:rPr>
          <w:rFonts w:ascii="Times New Roman" w:eastAsia="Times New Roman" w:hAnsi="Times New Roman" w:cs="Times New Roman"/>
          <w:color w:val="1F1F1F"/>
        </w:rPr>
      </w:pPr>
    </w:p>
    <w:p w:rsidR="00000000" w:rsidRPr="003F6ACD" w:rsidRDefault="003F6ACD" w:rsidP="003F6ACD">
      <w:pPr>
        <w:jc w:val="both"/>
        <w:rPr>
          <w:rFonts w:ascii="Times New Roman" w:hAnsi="Times New Roman" w:cs="Times New Roman"/>
          <w:color w:val="1F1F1F"/>
          <w:shd w:val="clear" w:color="auto" w:fill="FAF9F9"/>
        </w:rPr>
      </w:pPr>
      <w:r w:rsidRPr="003F6ACD">
        <w:rPr>
          <w:rFonts w:ascii="Times New Roman" w:hAnsi="Times New Roman" w:cs="Times New Roman"/>
          <w:color w:val="1F1F1F"/>
          <w:shd w:val="clear" w:color="auto" w:fill="FAF9F9"/>
        </w:rPr>
        <w:t xml:space="preserve">An outreach awareness program was organized by the </w:t>
      </w:r>
      <w:r w:rsidRPr="003F6ACD">
        <w:rPr>
          <w:rFonts w:ascii="Times New Roman" w:hAnsi="Times New Roman" w:cs="Times New Roman"/>
          <w:b/>
          <w:bCs/>
          <w:color w:val="1F1F1F"/>
          <w:shd w:val="clear" w:color="auto" w:fill="FAF9F9"/>
        </w:rPr>
        <w:t>Equal Opportunity Cell (EOC)</w:t>
      </w:r>
      <w:r w:rsidRPr="003F6ACD">
        <w:rPr>
          <w:rFonts w:ascii="Times New Roman" w:hAnsi="Times New Roman" w:cs="Times New Roman"/>
          <w:color w:val="1F1F1F"/>
          <w:shd w:val="clear" w:color="auto" w:fill="FAF9F9"/>
        </w:rPr>
        <w:t xml:space="preserve"> of </w:t>
      </w:r>
      <w:r w:rsidRPr="003F6ACD">
        <w:rPr>
          <w:rFonts w:ascii="Times New Roman" w:hAnsi="Times New Roman" w:cs="Times New Roman"/>
          <w:b/>
          <w:bCs/>
          <w:color w:val="1F1F1F"/>
          <w:shd w:val="clear" w:color="auto" w:fill="FAF9F9"/>
        </w:rPr>
        <w:t>G. Pulla Reddy Engineering College (Autonomous)</w:t>
      </w:r>
      <w:r w:rsidRPr="003F6ACD">
        <w:rPr>
          <w:rFonts w:ascii="Times New Roman" w:hAnsi="Times New Roman" w:cs="Times New Roman"/>
          <w:color w:val="1F1F1F"/>
          <w:shd w:val="clear" w:color="auto" w:fill="FAF9F9"/>
        </w:rPr>
        <w:t xml:space="preserve"> at Birla Open Mind International School, located in Nannur village near Kurnool.</w:t>
      </w:r>
    </w:p>
    <w:p w:rsidR="003F6ACD" w:rsidRPr="003F6ACD" w:rsidRDefault="003F6ACD" w:rsidP="003F6ACD">
      <w:pPr>
        <w:spacing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Venue:</w:t>
      </w:r>
      <w:r w:rsidRPr="003F6ACD">
        <w:rPr>
          <w:rFonts w:ascii="Times New Roman" w:eastAsia="Times New Roman" w:hAnsi="Times New Roman" w:cs="Times New Roman"/>
          <w:color w:val="1F1F1F"/>
          <w:bdr w:val="none" w:sz="0" w:space="0" w:color="auto" w:frame="1"/>
        </w:rPr>
        <w:t xml:space="preserve"> Birla Open Mind International School, Nannur Village, Kurnool, Andhra Pradesh</w:t>
      </w:r>
      <w:r w:rsidRPr="003F6ACD">
        <w:rPr>
          <w:rFonts w:ascii="Times New Roman" w:eastAsia="Times New Roman" w:hAnsi="Times New Roman" w:cs="Times New Roman"/>
          <w:color w:val="1F1F1F"/>
        </w:rPr>
        <w:t xml:space="preserve"> </w:t>
      </w:r>
    </w:p>
    <w:p w:rsidR="003F6ACD" w:rsidRPr="003F6ACD" w:rsidRDefault="003F6ACD" w:rsidP="003F6ACD">
      <w:pPr>
        <w:spacing w:after="0" w:line="240" w:lineRule="auto"/>
        <w:jc w:val="both"/>
        <w:rPr>
          <w:rFonts w:ascii="Times New Roman" w:eastAsia="Times New Roman" w:hAnsi="Times New Roman" w:cs="Times New Roman"/>
          <w:color w:val="1F1F1F"/>
        </w:rPr>
      </w:pPr>
    </w:p>
    <w:p w:rsidR="003F6ACD" w:rsidRPr="003F6ACD" w:rsidRDefault="003F6ACD" w:rsidP="003F6ACD">
      <w:pPr>
        <w:spacing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Date &amp; Time:</w:t>
      </w:r>
      <w:r w:rsidRPr="003F6ACD">
        <w:rPr>
          <w:rFonts w:ascii="Times New Roman" w:eastAsia="Times New Roman" w:hAnsi="Times New Roman" w:cs="Times New Roman"/>
          <w:color w:val="1F1F1F"/>
          <w:bdr w:val="none" w:sz="0" w:space="0" w:color="auto" w:frame="1"/>
        </w:rPr>
        <w:t xml:space="preserve"> Thursday, October 1, 2026 (11:49 AM – 12:27 PM)</w:t>
      </w:r>
      <w:r w:rsidRPr="003F6ACD">
        <w:rPr>
          <w:rFonts w:ascii="Times New Roman" w:eastAsia="Times New Roman" w:hAnsi="Times New Roman" w:cs="Times New Roman"/>
          <w:color w:val="1F1F1F"/>
        </w:rPr>
        <w:t xml:space="preserve"> </w:t>
      </w:r>
    </w:p>
    <w:p w:rsidR="003F6ACD" w:rsidRPr="003F6ACD" w:rsidRDefault="003F6ACD" w:rsidP="003F6ACD">
      <w:pPr>
        <w:spacing w:after="0" w:line="240" w:lineRule="auto"/>
        <w:jc w:val="both"/>
        <w:rPr>
          <w:rFonts w:ascii="Times New Roman" w:eastAsia="Times New Roman" w:hAnsi="Times New Roman" w:cs="Times New Roman"/>
          <w:b/>
          <w:bCs/>
          <w:color w:val="1F1F1F"/>
        </w:rPr>
      </w:pPr>
      <w:r w:rsidRPr="003F6ACD">
        <w:rPr>
          <w:rFonts w:ascii="Times New Roman" w:eastAsia="Times New Roman" w:hAnsi="Times New Roman" w:cs="Times New Roman"/>
          <w:color w:val="1F1F1F"/>
        </w:rPr>
        <w:br/>
      </w:r>
      <w:r w:rsidRPr="003F6ACD">
        <w:rPr>
          <w:rFonts w:ascii="Times New Roman" w:eastAsia="Times New Roman" w:hAnsi="Times New Roman" w:cs="Times New Roman"/>
          <w:b/>
          <w:bCs/>
          <w:color w:val="1F1F1F"/>
        </w:rPr>
        <w:t>Overview</w:t>
      </w:r>
    </w:p>
    <w:p w:rsidR="003F6ACD" w:rsidRPr="003F6ACD" w:rsidRDefault="003F6ACD" w:rsidP="003F6ACD">
      <w:pPr>
        <w:spacing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color w:val="1F1F1F"/>
          <w:bdr w:val="none" w:sz="0" w:space="0" w:color="auto" w:frame="1"/>
        </w:rPr>
        <w:t xml:space="preserve">The </w:t>
      </w:r>
      <w:r w:rsidRPr="003F6ACD">
        <w:rPr>
          <w:rFonts w:ascii="Times New Roman" w:eastAsia="Times New Roman" w:hAnsi="Times New Roman" w:cs="Times New Roman"/>
          <w:b/>
          <w:bCs/>
          <w:color w:val="1F1F1F"/>
          <w:bdr w:val="none" w:sz="0" w:space="0" w:color="auto" w:frame="1"/>
        </w:rPr>
        <w:t>Equal Opportunities Cell (EOC)</w:t>
      </w:r>
      <w:r w:rsidRPr="003F6ACD">
        <w:rPr>
          <w:rFonts w:ascii="Times New Roman" w:eastAsia="Times New Roman" w:hAnsi="Times New Roman" w:cs="Times New Roman"/>
          <w:color w:val="1F1F1F"/>
          <w:bdr w:val="none" w:sz="0" w:space="0" w:color="auto" w:frame="1"/>
        </w:rPr>
        <w:t xml:space="preserve"> of </w:t>
      </w:r>
      <w:r w:rsidRPr="003F6ACD">
        <w:rPr>
          <w:rFonts w:ascii="Times New Roman" w:eastAsia="Times New Roman" w:hAnsi="Times New Roman" w:cs="Times New Roman"/>
          <w:b/>
          <w:bCs/>
          <w:color w:val="1F1F1F"/>
          <w:bdr w:val="none" w:sz="0" w:space="0" w:color="auto" w:frame="1"/>
        </w:rPr>
        <w:t>G. Pulla Reddy Engineering College</w:t>
      </w:r>
      <w:r w:rsidRPr="003F6ACD">
        <w:rPr>
          <w:rFonts w:ascii="Times New Roman" w:eastAsia="Times New Roman" w:hAnsi="Times New Roman" w:cs="Times New Roman"/>
          <w:color w:val="1F1F1F"/>
          <w:bdr w:val="none" w:sz="0" w:space="0" w:color="auto" w:frame="1"/>
        </w:rPr>
        <w:t xml:space="preserve"> organized an awareness and outreach session aimed at guiding school students on higher education, skill development, and career opportunities. The interactive event focused on providing equal access, equal rights, and empowering students to make informed educational choices.</w:t>
      </w:r>
      <w:r w:rsidRPr="003F6ACD">
        <w:rPr>
          <w:rFonts w:ascii="Times New Roman" w:eastAsia="Times New Roman" w:hAnsi="Times New Roman" w:cs="Times New Roman"/>
          <w:color w:val="1F1F1F"/>
        </w:rPr>
        <w:t xml:space="preserve"> </w:t>
      </w:r>
    </w:p>
    <w:p w:rsidR="003F6ACD" w:rsidRPr="003F6ACD" w:rsidRDefault="003F6ACD" w:rsidP="003F6ACD">
      <w:pPr>
        <w:spacing w:after="0" w:line="240" w:lineRule="auto"/>
        <w:jc w:val="both"/>
        <w:rPr>
          <w:rFonts w:ascii="Times New Roman" w:eastAsia="Times New Roman" w:hAnsi="Times New Roman" w:cs="Times New Roman"/>
          <w:b/>
          <w:bCs/>
          <w:color w:val="1F1F1F"/>
        </w:rPr>
      </w:pPr>
      <w:r w:rsidRPr="003F6ACD">
        <w:rPr>
          <w:rFonts w:ascii="Times New Roman" w:eastAsia="Times New Roman" w:hAnsi="Times New Roman" w:cs="Times New Roman"/>
          <w:color w:val="1F1F1F"/>
        </w:rPr>
        <w:br/>
      </w:r>
      <w:r w:rsidRPr="003F6ACD">
        <w:rPr>
          <w:rFonts w:ascii="Times New Roman" w:eastAsia="Times New Roman" w:hAnsi="Times New Roman" w:cs="Times New Roman"/>
          <w:b/>
          <w:bCs/>
          <w:color w:val="1F1F1F"/>
        </w:rPr>
        <w:t>Key Presentation Topics Covered</w:t>
      </w:r>
    </w:p>
    <w:p w:rsidR="003F6ACD" w:rsidRPr="003F6ACD" w:rsidRDefault="003F6ACD" w:rsidP="003F6ACD">
      <w:pPr>
        <w:numPr>
          <w:ilvl w:val="0"/>
          <w:numId w:val="1"/>
        </w:numPr>
        <w:spacing w:before="100" w:beforeAutospacing="1"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Core Values of EOC:</w:t>
      </w:r>
      <w:r w:rsidRPr="003F6ACD">
        <w:rPr>
          <w:rFonts w:ascii="Times New Roman" w:eastAsia="Times New Roman" w:hAnsi="Times New Roman" w:cs="Times New Roman"/>
          <w:color w:val="1F1F1F"/>
          <w:bdr w:val="none" w:sz="0" w:space="0" w:color="auto" w:frame="1"/>
        </w:rPr>
        <w:t xml:space="preserve"> Introducing the mission of equality, inclusion, respect, empowerment, and unity in diversity.</w:t>
      </w:r>
      <w:r w:rsidRPr="003F6ACD">
        <w:rPr>
          <w:rFonts w:ascii="Times New Roman" w:eastAsia="Times New Roman" w:hAnsi="Times New Roman" w:cs="Times New Roman"/>
          <w:color w:val="1F1F1F"/>
        </w:rPr>
        <w:t xml:space="preserve"> </w:t>
      </w:r>
    </w:p>
    <w:p w:rsidR="003F6ACD" w:rsidRPr="003F6ACD" w:rsidRDefault="003F6ACD" w:rsidP="003F6ACD">
      <w:pPr>
        <w:numPr>
          <w:ilvl w:val="0"/>
          <w:numId w:val="1"/>
        </w:numPr>
        <w:spacing w:before="100" w:beforeAutospacing="1"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Entrance &amp; Scholarship Opportunities:</w:t>
      </w:r>
      <w:r w:rsidRPr="003F6ACD">
        <w:rPr>
          <w:rFonts w:ascii="Times New Roman" w:eastAsia="Times New Roman" w:hAnsi="Times New Roman" w:cs="Times New Roman"/>
          <w:color w:val="1F1F1F"/>
          <w:bdr w:val="none" w:sz="0" w:space="0" w:color="auto" w:frame="1"/>
        </w:rPr>
        <w:t xml:space="preserve"> Detailed guidance on merit-based admissions, government scholarship programs, and financial support schemes for higher education.</w:t>
      </w:r>
      <w:r w:rsidRPr="003F6ACD">
        <w:rPr>
          <w:rFonts w:ascii="Times New Roman" w:eastAsia="Times New Roman" w:hAnsi="Times New Roman" w:cs="Times New Roman"/>
          <w:color w:val="1F1F1F"/>
        </w:rPr>
        <w:t xml:space="preserve"> </w:t>
      </w:r>
    </w:p>
    <w:p w:rsidR="003F6ACD" w:rsidRPr="003F6ACD" w:rsidRDefault="003F6ACD" w:rsidP="003F6ACD">
      <w:pPr>
        <w:numPr>
          <w:ilvl w:val="0"/>
          <w:numId w:val="1"/>
        </w:numPr>
        <w:spacing w:before="100" w:beforeAutospacing="1"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IIIT / RGUKT 6-Year Integrated Courses:</w:t>
      </w:r>
      <w:r w:rsidRPr="003F6ACD">
        <w:rPr>
          <w:rFonts w:ascii="Times New Roman" w:eastAsia="Times New Roman" w:hAnsi="Times New Roman" w:cs="Times New Roman"/>
          <w:color w:val="1F1F1F"/>
          <w:bdr w:val="none" w:sz="0" w:space="0" w:color="auto" w:frame="1"/>
        </w:rPr>
        <w:t xml:space="preserve"> Step-by-step overview of post-10th grade admission pathways into 6-year integrated B.Tech programs.</w:t>
      </w:r>
      <w:r w:rsidRPr="003F6ACD">
        <w:rPr>
          <w:rFonts w:ascii="Times New Roman" w:eastAsia="Times New Roman" w:hAnsi="Times New Roman" w:cs="Times New Roman"/>
          <w:color w:val="1F1F1F"/>
        </w:rPr>
        <w:t xml:space="preserve"> </w:t>
      </w:r>
    </w:p>
    <w:p w:rsidR="003F6ACD" w:rsidRPr="003F6ACD" w:rsidRDefault="003F6ACD" w:rsidP="003F6ACD">
      <w:pPr>
        <w:numPr>
          <w:ilvl w:val="0"/>
          <w:numId w:val="1"/>
        </w:numPr>
        <w:spacing w:before="100" w:beforeAutospacing="1"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Skill Development &amp; Short-Term Courses:</w:t>
      </w:r>
      <w:r w:rsidRPr="003F6ACD">
        <w:rPr>
          <w:rFonts w:ascii="Times New Roman" w:eastAsia="Times New Roman" w:hAnsi="Times New Roman" w:cs="Times New Roman"/>
          <w:color w:val="1F1F1F"/>
          <w:bdr w:val="none" w:sz="0" w:space="0" w:color="auto" w:frame="1"/>
        </w:rPr>
        <w:t xml:space="preserve"> Highlighting job-oriented vocational training including web development, solar/electrician technical skills, graphic design, and short-term certifications.</w:t>
      </w:r>
      <w:r w:rsidRPr="003F6ACD">
        <w:rPr>
          <w:rFonts w:ascii="Times New Roman" w:eastAsia="Times New Roman" w:hAnsi="Times New Roman" w:cs="Times New Roman"/>
          <w:color w:val="1F1F1F"/>
        </w:rPr>
        <w:t xml:space="preserve"> </w:t>
      </w:r>
    </w:p>
    <w:p w:rsidR="003F6ACD" w:rsidRPr="003F6ACD" w:rsidRDefault="003F6ACD" w:rsidP="003F6ACD">
      <w:pPr>
        <w:numPr>
          <w:ilvl w:val="0"/>
          <w:numId w:val="1"/>
        </w:numPr>
        <w:spacing w:before="100" w:beforeAutospacing="1"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Vocational Courses &amp; Apprenticeships:</w:t>
      </w:r>
      <w:r w:rsidRPr="003F6ACD">
        <w:rPr>
          <w:rFonts w:ascii="Times New Roman" w:eastAsia="Times New Roman" w:hAnsi="Times New Roman" w:cs="Times New Roman"/>
          <w:color w:val="1F1F1F"/>
          <w:bdr w:val="none" w:sz="0" w:space="0" w:color="auto" w:frame="1"/>
        </w:rPr>
        <w:t xml:space="preserve"> Discussing hands-on industry-based practical training, stipends, and workplace experience programs.</w:t>
      </w:r>
      <w:r w:rsidRPr="003F6ACD">
        <w:rPr>
          <w:rFonts w:ascii="Times New Roman" w:eastAsia="Times New Roman" w:hAnsi="Times New Roman" w:cs="Times New Roman"/>
          <w:color w:val="1F1F1F"/>
        </w:rPr>
        <w:t xml:space="preserve"> </w:t>
      </w:r>
    </w:p>
    <w:p w:rsidR="003F6ACD" w:rsidRPr="003F6ACD" w:rsidRDefault="003F6ACD" w:rsidP="003F6ACD">
      <w:pPr>
        <w:numPr>
          <w:ilvl w:val="0"/>
          <w:numId w:val="1"/>
        </w:numPr>
        <w:spacing w:before="100" w:beforeAutospacing="1"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Pre-Application Checklist:</w:t>
      </w:r>
      <w:r w:rsidRPr="003F6ACD">
        <w:rPr>
          <w:rFonts w:ascii="Times New Roman" w:eastAsia="Times New Roman" w:hAnsi="Times New Roman" w:cs="Times New Roman"/>
          <w:color w:val="1F1F1F"/>
          <w:bdr w:val="none" w:sz="0" w:space="0" w:color="auto" w:frame="1"/>
        </w:rPr>
        <w:t xml:space="preserve"> Essential advice on eligibility criteria, verifying official notifications, and application procedures before applying.</w:t>
      </w:r>
      <w:r w:rsidRPr="003F6ACD">
        <w:rPr>
          <w:rFonts w:ascii="Times New Roman" w:eastAsia="Times New Roman" w:hAnsi="Times New Roman" w:cs="Times New Roman"/>
          <w:color w:val="1F1F1F"/>
        </w:rPr>
        <w:t xml:space="preserve"> </w:t>
      </w:r>
    </w:p>
    <w:p w:rsidR="003F6ACD" w:rsidRPr="003F6ACD" w:rsidRDefault="003F6ACD" w:rsidP="003F6ACD">
      <w:pPr>
        <w:spacing w:before="100" w:beforeAutospacing="1" w:after="0" w:line="240" w:lineRule="auto"/>
        <w:jc w:val="both"/>
        <w:outlineLvl w:val="2"/>
        <w:rPr>
          <w:rFonts w:ascii="Times New Roman" w:eastAsia="Times New Roman" w:hAnsi="Times New Roman" w:cs="Times New Roman"/>
          <w:b/>
          <w:bCs/>
          <w:color w:val="1F1F1F"/>
        </w:rPr>
      </w:pPr>
      <w:r w:rsidRPr="003F6ACD">
        <w:rPr>
          <w:rFonts w:ascii="Times New Roman" w:eastAsia="Times New Roman" w:hAnsi="Times New Roman" w:cs="Times New Roman"/>
          <w:b/>
          <w:bCs/>
          <w:color w:val="1F1F1F"/>
        </w:rPr>
        <w:t>Key Highlights</w:t>
      </w:r>
    </w:p>
    <w:p w:rsidR="003F6ACD" w:rsidRPr="003F6ACD" w:rsidRDefault="003F6ACD" w:rsidP="003F6ACD">
      <w:pPr>
        <w:numPr>
          <w:ilvl w:val="0"/>
          <w:numId w:val="2"/>
        </w:numPr>
        <w:spacing w:before="100" w:beforeAutospacing="1" w:after="0" w:line="240" w:lineRule="auto"/>
        <w:jc w:val="both"/>
        <w:rPr>
          <w:rFonts w:ascii="Times New Roman" w:eastAsia="Times New Roman" w:hAnsi="Times New Roman" w:cs="Times New Roman"/>
          <w:color w:val="1F1F1F"/>
        </w:rPr>
      </w:pPr>
      <w:r w:rsidRPr="003F6ACD">
        <w:rPr>
          <w:rFonts w:ascii="Times New Roman" w:eastAsia="Times New Roman" w:hAnsi="Times New Roman" w:cs="Times New Roman"/>
          <w:b/>
          <w:bCs/>
          <w:color w:val="1F1F1F"/>
          <w:bdr w:val="none" w:sz="0" w:space="0" w:color="auto" w:frame="1"/>
        </w:rPr>
        <w:t>Active Engagement:</w:t>
      </w:r>
      <w:r w:rsidRPr="003F6ACD">
        <w:rPr>
          <w:rFonts w:ascii="Times New Roman" w:eastAsia="Times New Roman" w:hAnsi="Times New Roman" w:cs="Times New Roman"/>
          <w:color w:val="1F1F1F"/>
          <w:bdr w:val="none" w:sz="0" w:space="0" w:color="auto" w:frame="1"/>
        </w:rPr>
        <w:t xml:space="preserve"> College student volunteers and faculty members presented interactive digital slides on smart displays to deliver structured guidance.</w:t>
      </w:r>
      <w:r w:rsidRPr="003F6ACD">
        <w:rPr>
          <w:rFonts w:ascii="Times New Roman" w:eastAsia="Times New Roman" w:hAnsi="Times New Roman" w:cs="Times New Roman"/>
          <w:color w:val="1F1F1F"/>
        </w:rPr>
        <w:t xml:space="preserve"> </w:t>
      </w:r>
    </w:p>
    <w:p w:rsidR="003F6ACD" w:rsidRDefault="003F6ACD" w:rsidP="003F6ACD">
      <w:pPr>
        <w:numPr>
          <w:ilvl w:val="0"/>
          <w:numId w:val="2"/>
        </w:numPr>
        <w:spacing w:before="100" w:beforeAutospacing="1" w:after="0" w:line="240" w:lineRule="auto"/>
        <w:jc w:val="both"/>
        <w:rPr>
          <w:rFonts w:ascii="Times New Roman" w:eastAsia="Times New Roman" w:hAnsi="Times New Roman" w:cs="Times New Roman"/>
          <w:color w:val="1F1F1F"/>
          <w:sz w:val="24"/>
          <w:szCs w:val="24"/>
        </w:rPr>
      </w:pPr>
      <w:r w:rsidRPr="003F6ACD">
        <w:rPr>
          <w:rFonts w:ascii="Times New Roman" w:eastAsia="Times New Roman" w:hAnsi="Times New Roman" w:cs="Times New Roman"/>
          <w:b/>
          <w:bCs/>
          <w:color w:val="1F1F1F"/>
          <w:bdr w:val="none" w:sz="0" w:space="0" w:color="auto" w:frame="1"/>
        </w:rPr>
        <w:t>Student Participation:</w:t>
      </w:r>
      <w:r w:rsidRPr="003F6ACD">
        <w:rPr>
          <w:rFonts w:ascii="Times New Roman" w:eastAsia="Times New Roman" w:hAnsi="Times New Roman" w:cs="Times New Roman"/>
          <w:color w:val="1F1F1F"/>
          <w:bdr w:val="none" w:sz="0" w:space="0" w:color="auto" w:frame="1"/>
        </w:rPr>
        <w:t xml:space="preserve"> Attending students listened attentively, participated in </w:t>
      </w:r>
      <w:r w:rsidRPr="003F6ACD">
        <w:rPr>
          <w:rFonts w:ascii="Times New Roman" w:eastAsia="Times New Roman" w:hAnsi="Times New Roman" w:cs="Times New Roman"/>
          <w:color w:val="1F1F1F"/>
          <w:sz w:val="24"/>
          <w:szCs w:val="24"/>
          <w:bdr w:val="none" w:sz="0" w:space="0" w:color="auto" w:frame="1"/>
        </w:rPr>
        <w:t>discussions, and clarified their queries regarding post-10th educational pathways.</w:t>
      </w:r>
      <w:r w:rsidRPr="003F6ACD">
        <w:rPr>
          <w:rFonts w:ascii="Times New Roman" w:eastAsia="Times New Roman" w:hAnsi="Times New Roman" w:cs="Times New Roman"/>
          <w:color w:val="1F1F1F"/>
          <w:sz w:val="24"/>
          <w:szCs w:val="24"/>
        </w:rPr>
        <w:t xml:space="preserve"> </w:t>
      </w:r>
    </w:p>
    <w:p w:rsidR="003F6ACD" w:rsidRDefault="003F6ACD" w:rsidP="003F6ACD">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97548" cy="1928693"/>
            <wp:effectExtent l="19050" t="0" r="3202" b="0"/>
            <wp:docPr id="1" name="Picture 1" descr="D:\GPREC\EOC Cell\2026-27\Program 3 outreach at Birla open mind school\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PREC\EOC Cell\2026-27\Program 3 outreach at Birla open mind school\1.jpeg"/>
                    <pic:cNvPicPr>
                      <a:picLocks noChangeAspect="1" noChangeArrowheads="1"/>
                    </pic:cNvPicPr>
                  </pic:nvPicPr>
                  <pic:blipFill>
                    <a:blip r:embed="rId7"/>
                    <a:srcRect/>
                    <a:stretch>
                      <a:fillRect/>
                    </a:stretch>
                  </pic:blipFill>
                  <pic:spPr bwMode="auto">
                    <a:xfrm>
                      <a:off x="0" y="0"/>
                      <a:ext cx="6004747" cy="1931008"/>
                    </a:xfrm>
                    <a:prstGeom prst="rect">
                      <a:avLst/>
                    </a:prstGeom>
                    <a:noFill/>
                    <a:ln w="9525">
                      <a:noFill/>
                      <a:miter lim="800000"/>
                      <a:headEnd/>
                      <a:tailEnd/>
                    </a:ln>
                  </pic:spPr>
                </pic:pic>
              </a:graphicData>
            </a:graphic>
          </wp:inline>
        </w:drawing>
      </w:r>
    </w:p>
    <w:p w:rsidR="00827885" w:rsidRDefault="003F6ACD" w:rsidP="003F6ACD">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000792" cy="2097741"/>
            <wp:effectExtent l="19050" t="0" r="0" b="0"/>
            <wp:docPr id="8" name="Picture 8" descr="D:\GPREC\EOC Cell\2026-27\Program 3 outreach at Birla open mind school\WhatsApp Image 2026-10-03 at 4.19.5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GPREC\EOC Cell\2026-27\Program 3 outreach at Birla open mind school\WhatsApp Image 2026-10-03 at 4.19.55 PM.jpeg"/>
                    <pic:cNvPicPr>
                      <a:picLocks noChangeAspect="1" noChangeArrowheads="1"/>
                    </pic:cNvPicPr>
                  </pic:nvPicPr>
                  <pic:blipFill>
                    <a:blip r:embed="rId8"/>
                    <a:srcRect/>
                    <a:stretch>
                      <a:fillRect/>
                    </a:stretch>
                  </pic:blipFill>
                  <pic:spPr bwMode="auto">
                    <a:xfrm>
                      <a:off x="0" y="0"/>
                      <a:ext cx="6003908" cy="209883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drawing>
          <wp:inline distT="0" distB="0" distL="0" distR="0">
            <wp:extent cx="5997548" cy="3281083"/>
            <wp:effectExtent l="19050" t="0" r="3202" b="0"/>
            <wp:docPr id="7" name="Picture 7" descr="D:\GPREC\EOC Cell\2026-27\Program 3 outreach at Birla open mind school\WhatsApp Image 2026-10-03 at 4.19.5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GPREC\EOC Cell\2026-27\Program 3 outreach at Birla open mind school\WhatsApp Image 2026-10-03 at 4.19.55 PM (1).jpeg"/>
                    <pic:cNvPicPr>
                      <a:picLocks noChangeAspect="1" noChangeArrowheads="1"/>
                    </pic:cNvPicPr>
                  </pic:nvPicPr>
                  <pic:blipFill>
                    <a:blip r:embed="rId9"/>
                    <a:srcRect/>
                    <a:stretch>
                      <a:fillRect/>
                    </a:stretch>
                  </pic:blipFill>
                  <pic:spPr bwMode="auto">
                    <a:xfrm>
                      <a:off x="0" y="0"/>
                      <a:ext cx="6003708" cy="3284453"/>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drawing>
          <wp:inline distT="0" distB="0" distL="0" distR="0">
            <wp:extent cx="6082073" cy="2289842"/>
            <wp:effectExtent l="19050" t="0" r="0" b="0"/>
            <wp:docPr id="6" name="Picture 6" descr="D:\GPREC\EOC Cell\2026-27\Program 3 outreach at Birla open mind school\WhatsApp Image 2026-10-03 at 4.19.54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GPREC\EOC Cell\2026-27\Program 3 outreach at Birla open mind school\WhatsApp Image 2026-10-03 at 4.19.54 PM (1).jpeg"/>
                    <pic:cNvPicPr>
                      <a:picLocks noChangeAspect="1" noChangeArrowheads="1"/>
                    </pic:cNvPicPr>
                  </pic:nvPicPr>
                  <pic:blipFill>
                    <a:blip r:embed="rId10"/>
                    <a:srcRect/>
                    <a:stretch>
                      <a:fillRect/>
                    </a:stretch>
                  </pic:blipFill>
                  <pic:spPr bwMode="auto">
                    <a:xfrm>
                      <a:off x="0" y="0"/>
                      <a:ext cx="6087213" cy="2291777"/>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lastRenderedPageBreak/>
        <w:drawing>
          <wp:inline distT="0" distB="0" distL="0" distR="0">
            <wp:extent cx="6135861" cy="2720148"/>
            <wp:effectExtent l="19050" t="0" r="0" b="0"/>
            <wp:docPr id="3" name="Picture 3" descr="D:\GPREC\EOC Cell\2026-27\Program 3 outreach at Birla open mind school\WhatsApp Image 2026-10-03 at 4.19.5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PREC\EOC Cell\2026-27\Program 3 outreach at Birla open mind school\WhatsApp Image 2026-10-03 at 4.19.58 PM (1).jpeg"/>
                    <pic:cNvPicPr>
                      <a:picLocks noChangeAspect="1" noChangeArrowheads="1"/>
                    </pic:cNvPicPr>
                  </pic:nvPicPr>
                  <pic:blipFill>
                    <a:blip r:embed="rId11"/>
                    <a:srcRect/>
                    <a:stretch>
                      <a:fillRect/>
                    </a:stretch>
                  </pic:blipFill>
                  <pic:spPr bwMode="auto">
                    <a:xfrm>
                      <a:off x="0" y="0"/>
                      <a:ext cx="6136336" cy="2720359"/>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drawing>
          <wp:inline distT="0" distB="0" distL="0" distR="0">
            <wp:extent cx="6135861" cy="2796477"/>
            <wp:effectExtent l="19050" t="0" r="0" b="0"/>
            <wp:docPr id="2" name="Picture 2" descr="D:\GPREC\EOC Cell\2026-27\Program 3 outreach at Birla open mind school\WhatsApp Image 2026-10-03 at 4.19.5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PREC\EOC Cell\2026-27\Program 3 outreach at Birla open mind school\WhatsApp Image 2026-10-03 at 4.19.56 PM.jpeg"/>
                    <pic:cNvPicPr>
                      <a:picLocks noChangeAspect="1" noChangeArrowheads="1"/>
                    </pic:cNvPicPr>
                  </pic:nvPicPr>
                  <pic:blipFill>
                    <a:blip r:embed="rId12"/>
                    <a:srcRect/>
                    <a:stretch>
                      <a:fillRect/>
                    </a:stretch>
                  </pic:blipFill>
                  <pic:spPr bwMode="auto">
                    <a:xfrm>
                      <a:off x="0" y="0"/>
                      <a:ext cx="6140125" cy="2798421"/>
                    </a:xfrm>
                    <a:prstGeom prst="rect">
                      <a:avLst/>
                    </a:prstGeom>
                    <a:noFill/>
                    <a:ln w="9525">
                      <a:noFill/>
                      <a:miter lim="800000"/>
                      <a:headEnd/>
                      <a:tailEnd/>
                    </a:ln>
                  </pic:spPr>
                </pic:pic>
              </a:graphicData>
            </a:graphic>
          </wp:inline>
        </w:drawing>
      </w:r>
    </w:p>
    <w:p w:rsidR="00827885" w:rsidRPr="00827885" w:rsidRDefault="00827885" w:rsidP="00827885">
      <w:pPr>
        <w:rPr>
          <w:rFonts w:ascii="Times New Roman" w:eastAsia="Times New Roman" w:hAnsi="Times New Roman" w:cs="Times New Roman"/>
          <w:sz w:val="24"/>
          <w:szCs w:val="24"/>
        </w:rPr>
      </w:pPr>
    </w:p>
    <w:p w:rsidR="00827885" w:rsidRDefault="00827885" w:rsidP="00827885">
      <w:pPr>
        <w:rPr>
          <w:rFonts w:ascii="Times New Roman" w:eastAsia="Times New Roman" w:hAnsi="Times New Roman" w:cs="Times New Roman"/>
          <w:sz w:val="24"/>
          <w:szCs w:val="24"/>
        </w:rPr>
      </w:pPr>
    </w:p>
    <w:p w:rsidR="00827885" w:rsidRDefault="00827885" w:rsidP="00827885">
      <w:pPr>
        <w:jc w:val="both"/>
        <w:rPr>
          <w:rFonts w:ascii="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3822065</wp:posOffset>
            </wp:positionH>
            <wp:positionV relativeFrom="paragraph">
              <wp:posOffset>267970</wp:posOffset>
            </wp:positionV>
            <wp:extent cx="810260" cy="268605"/>
            <wp:effectExtent l="19050" t="0" r="8890" b="0"/>
            <wp:wrapTight wrapText="bothSides">
              <wp:wrapPolygon edited="0">
                <wp:start x="-508" y="0"/>
                <wp:lineTo x="-508" y="19915"/>
                <wp:lineTo x="21837" y="19915"/>
                <wp:lineTo x="21837" y="0"/>
                <wp:lineTo x="-508" y="0"/>
              </wp:wrapPolygon>
            </wp:wrapTight>
            <wp:docPr id="4" name="Picture 15" descr="D:\GPREC\sagar potos\10-03-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GPREC\sagar potos\10-03-2020.jpg"/>
                    <pic:cNvPicPr>
                      <a:picLocks noChangeAspect="1" noChangeArrowheads="1"/>
                    </pic:cNvPicPr>
                  </pic:nvPicPr>
                  <pic:blipFill>
                    <a:blip r:embed="rId13" cstate="print"/>
                    <a:srcRect/>
                    <a:stretch>
                      <a:fillRect/>
                    </a:stretch>
                  </pic:blipFill>
                  <pic:spPr bwMode="auto">
                    <a:xfrm>
                      <a:off x="0" y="0"/>
                      <a:ext cx="810260" cy="268605"/>
                    </a:xfrm>
                    <a:prstGeom prst="rect">
                      <a:avLst/>
                    </a:prstGeom>
                    <a:noFill/>
                    <a:ln w="9525">
                      <a:noFill/>
                      <a:miter lim="800000"/>
                      <a:headEnd/>
                      <a:tailEnd/>
                    </a:ln>
                  </pic:spPr>
                </pic:pic>
              </a:graphicData>
            </a:graphic>
          </wp:anchor>
        </w:drawing>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sz w:val="24"/>
          <w:szCs w:val="24"/>
        </w:rPr>
        <w:t>Signature of the Liaison Officer</w:t>
      </w:r>
    </w:p>
    <w:p w:rsidR="00827885" w:rsidRDefault="00827885" w:rsidP="00827885">
      <w:pPr>
        <w:jc w:val="both"/>
        <w:rPr>
          <w:rFonts w:ascii="Times New Roman" w:hAnsi="Times New Roman" w:cs="Times New Roman"/>
          <w:sz w:val="24"/>
          <w:szCs w:val="24"/>
        </w:rPr>
      </w:pPr>
    </w:p>
    <w:p w:rsidR="00827885" w:rsidRDefault="00827885" w:rsidP="0082788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(Dr. GVR Sagar)</w:t>
      </w:r>
    </w:p>
    <w:p w:rsidR="003F6ACD" w:rsidRPr="00827885" w:rsidRDefault="003F6ACD" w:rsidP="00827885">
      <w:pPr>
        <w:tabs>
          <w:tab w:val="left" w:pos="1876"/>
        </w:tabs>
        <w:rPr>
          <w:rFonts w:ascii="Times New Roman" w:eastAsia="Times New Roman" w:hAnsi="Times New Roman" w:cs="Times New Roman"/>
          <w:sz w:val="24"/>
          <w:szCs w:val="24"/>
        </w:rPr>
      </w:pPr>
    </w:p>
    <w:sectPr w:rsidR="003F6ACD" w:rsidRPr="00827885" w:rsidSect="003F6ACD">
      <w:headerReference w:type="default" r:id="rId14"/>
      <w:pgSz w:w="12240" w:h="15840"/>
      <w:pgMar w:top="1134" w:right="1440" w:bottom="1440" w:left="1440" w:header="426"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DD8" w:rsidRDefault="00DA2DD8" w:rsidP="003F6ACD">
      <w:pPr>
        <w:spacing w:after="0" w:line="240" w:lineRule="auto"/>
      </w:pPr>
      <w:r>
        <w:separator/>
      </w:r>
    </w:p>
  </w:endnote>
  <w:endnote w:type="continuationSeparator" w:id="1">
    <w:p w:rsidR="00DA2DD8" w:rsidRDefault="00DA2DD8" w:rsidP="003F6A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DD8" w:rsidRDefault="00DA2DD8" w:rsidP="003F6ACD">
      <w:pPr>
        <w:spacing w:after="0" w:line="240" w:lineRule="auto"/>
      </w:pPr>
      <w:r>
        <w:separator/>
      </w:r>
    </w:p>
  </w:footnote>
  <w:footnote w:type="continuationSeparator" w:id="1">
    <w:p w:rsidR="00DA2DD8" w:rsidRDefault="00DA2DD8" w:rsidP="003F6A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ACD" w:rsidRPr="003F6ACD" w:rsidRDefault="003F6ACD" w:rsidP="003F6ACD">
    <w:pPr>
      <w:pStyle w:val="Header"/>
      <w:jc w:val="center"/>
      <w:rPr>
        <w:b/>
      </w:rPr>
    </w:pPr>
    <w:r w:rsidRPr="003F6ACD">
      <w:rPr>
        <w:b/>
      </w:rPr>
      <w:t>G PULLA REDDY ENGINEERING COLLEGE (AUTONOMOUS): KURNOOL</w:t>
    </w:r>
  </w:p>
  <w:p w:rsidR="003F6ACD" w:rsidRPr="003F6ACD" w:rsidRDefault="003F6ACD" w:rsidP="003F6ACD">
    <w:pPr>
      <w:pStyle w:val="Header"/>
      <w:jc w:val="center"/>
      <w:rPr>
        <w:b/>
      </w:rPr>
    </w:pPr>
    <w:r w:rsidRPr="003F6ACD">
      <w:rPr>
        <w:b/>
      </w:rPr>
      <w:t>EQUAL OPERTUNITY CELL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F2470B"/>
    <w:multiLevelType w:val="multilevel"/>
    <w:tmpl w:val="4E880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8A6FC8"/>
    <w:multiLevelType w:val="multilevel"/>
    <w:tmpl w:val="AC0A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useFELayout/>
  </w:compat>
  <w:rsids>
    <w:rsidRoot w:val="003F6ACD"/>
    <w:rsid w:val="003F6ACD"/>
    <w:rsid w:val="00827885"/>
    <w:rsid w:val="00DA2D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F6A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F6A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6ACD"/>
  </w:style>
  <w:style w:type="paragraph" w:styleId="Footer">
    <w:name w:val="footer"/>
    <w:basedOn w:val="Normal"/>
    <w:link w:val="FooterChar"/>
    <w:uiPriority w:val="99"/>
    <w:semiHidden/>
    <w:unhideWhenUsed/>
    <w:rsid w:val="003F6A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6ACD"/>
  </w:style>
  <w:style w:type="character" w:customStyle="1" w:styleId="Heading3Char">
    <w:name w:val="Heading 3 Char"/>
    <w:basedOn w:val="DefaultParagraphFont"/>
    <w:link w:val="Heading3"/>
    <w:uiPriority w:val="9"/>
    <w:rsid w:val="003F6ACD"/>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3F6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A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652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SAGAR</dc:creator>
  <cp:keywords/>
  <dc:description/>
  <cp:lastModifiedBy>SAGAR</cp:lastModifiedBy>
  <cp:revision>3</cp:revision>
  <dcterms:created xsi:type="dcterms:W3CDTF">2026-10-07T04:26:00Z</dcterms:created>
  <dcterms:modified xsi:type="dcterms:W3CDTF">2026-10-07T04:35:00Z</dcterms:modified>
</cp:coreProperties>
</file>